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HSV2-TPK-2026-04-06-UNASSIGNED-RA-05_Geographic_Ris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Country risk tiers: FATF mutual evaluations, NRA findings, sanctions exposure, corruption indices, CAHRA status.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1,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RA-05 | Geographic Risk Assessment and Country Classification | RISK ASSESSMENT | ENTITY: MADISON LLCCountry risk tiers: FATF mutual evaluations, NRA findings, sanctions exposure, corruption indices, CAHRA status.Regulatory Basis: FATF Rec. 1, 19; LBMA RGG v9 Step 2; UAE NRA 2024; Cabinet Resolution 134/2025 Art.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