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1213962483841977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HSV2-TPK-2026-04-06-UNASSIGNED-RA-05_Geographic_Ris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1213962483841977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RA-05 | Geographic Risk Assessment and Country Classification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1213962483841977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https://app.asana.com/1/1213645083721316/project/1213908611400789/task/1213962483841977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Country risk tiers: FATF mutual evaluations, NRA findings, sanctions exposure, corruption indices, CAHRA status.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1, 19; LBMA RGG v9 Step 2; UAE NRA 2024; Cabinet Resolution 134/2025 Art. 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RA-05 | Geographic Risk Assessment and Country Classification - ENTITY: GRAMALTIN ASCountry risk tiers: FATF mutual evaluations, NRA findings, sanctions exposure, corruption indices, CAHRA status.Regulatory Basis: FATF Rec. 1, 19; LBMA RGG v9 Step 2; UAE NRA 2024; Cabinet Resolution 134/2025 Art.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