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HSV2-TPK-2026-04-06-UNASSIGNED-RA-06_Delivery_Chann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RA-06 | Delivery Channel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by channel: face-to-face, online, agent/intermediary, cross-border, third-party referral. Controls per channel.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5-6; FATF Rec. 1, 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RA-06 | Delivery Channel Risk Assessment - ENTITY: GRAMALTIN ASML/TF risk by channel: face-to-face, online, agent/intermediary, cross-border, third-party referral. Controls per channel.Regulatory Basis: UAE FDL No.(10) of 2025 Art. 20; Cabinet Resolution 134/2025 Art. 5-6; FATF Rec. 1, 15Priority: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