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HSV2-TPK-2026-04-06-UNASSIGNED-RF-01_DPMS_Cash_Tran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1213954968018054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RF-01 | DPMS Cash Transaction Red Flags Register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https://app.asana.com/1/1213645083721316/project/1213909833048586/task/1213954968018054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FATF Guidance for DPMS (2020) Sec. 4.2; Cabinet Resolution 134/2025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RF-01 | DPMS Cash Transaction Red Flags Register - ENTITY: FG LLCDevelop and maintain a register of ML/TF red flags specific to precious metals dealers. Must include: cash transactions at or near AED 55,000 threshold, unusual payment patterns, requests to avoid record-keeping, mismatched transaction values vs. market price, and transactions with no apparent economic rationale.Regulatory Basis: UAE FDL No.(10) of 2025 Art. 15-16; FATF Guidance for DPMS (2020) Sec. 4.2; Cabinet Resolution 134/2025 Art. 4Priority: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