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1213962483978987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HSV2-TPK-2026-04-06-UNASSIGNED-RF-01_DPMS_Cash_Tran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1213962483978987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RF-01 | DPMS Cash Transaction Red Flags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1213962483978987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https://app.asana.com/1/1213645083721316/project/1213908611350810/task/1213962483978987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Develop and maintain a register of ML/TF red flags specific to precious metals dealers. Must include: cash transactions at or near AED 55,000 threshold, unusual payment patterns, requests to avoid record-keeping, mismatched transaction values vs. market price, and transactions with no apparent economic rationale. Cross-reference with FATF DPMS typologies.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15-16; FATF Guidance for DPMS (2020) Sec. 4.2;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RF-01 | DPMS Cash Transaction Red Flags Register - ENTITY: MADISON LLC Develop and maintain a register of ML/TF red flags specific to precious metals dealers. Must include: cash transactions at or near AED 55,000 threshold, unusual payment patterns, requests to avoid record-keeping, mismatched transaction values vs. market price, and transactions with no apparent economic rationale. Cross-reference with FATF DPMS typologies. Regulatory Basis: UAE FDL No.(10) of 202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