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MADISON LLCDevelop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rationale.Regulatory Basis: UAE FDL No.(10) of 2025 Art. 15-16; FATF Guidance for DPMS (2020) Sec. 4.2; Cabinet Resolution 134/2025 Art. 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