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1213964638919323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HSV2-TPK-2026-04-06-UNASSIGNED-RF-01_DPMS_Cash_Tran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1213964638919323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RF-01 | DPMS Cash Transaction Red Flags Register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1213964638919323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https://app.asana.com/1/1213645083721316/project/1213908611400789/task/1213964638919323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Develop and maintain a register of ML/TF red flags specific to precious metals dealers. Must include: cash transactions at or near AED 55,000 threshold, unusual payment patterns, requests to avoid record-keeping, mismatched transaction values vs. market price, and transactions with no apparent economic rationale. Cross-reference with FATF DPMS typologies.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15-16; FATF Guidance for DPMS (2020) Sec. 4.2; Cabinet Resolution 134/2025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RF-01 | DPMS Cash Transaction Red Flags Register - ENTITY: GRAMALTIN AS Develop and maintain a register of ML/TF red flags specific to precious metals dealers. Must include: cash transactions at or near AED 55,000 threshold, unusual payment patterns, requests to avoid record-keeping, mismatched transaction values vs. market price, and transactions with no apparent economic rationale. Cross-reference with FATF DPMS typologies. Regulatory Basis: UAE FDL No.(10) of 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