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GRAMALTIN AS 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 Regulatory Basis: FATF TBML Report (2006/2020); UAE FDL No.(10) of 2025 Art. 4;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