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HSV2-TPK-2026-04-06-UNASSIGNED-RF-02_Trade-Based_Mo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1213962483978986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RF-02 | Trade-Based Money Laundering (TBML) Indicators Checklist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https://app.asana.com/1/1213645083721316/project/1213908611350810/task/1213962483978986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TBML Report (2006/2020); UAE FDL No.(10) of 2025 Art. 4; FATF Guidance for DPMS (2020) Sec. 3.3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RF-02 | Trade-Based Money Laundering (TBML) Indicators Checklist - ENTITY: MADISON LLC 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 Regulatory Basis: FATF TBML Report (2006/2020); UAE FDL No.(10) of 2025 Art. 4; FATF Guidance for DPMS (2020) Sec. 3.3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