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HSV2-TPK-2026-04-06-UNASSIGNED-RF-02_Trade-Based_Mo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RF-02 | Trade-Based Money Laundering (TBML) Indicators Checklist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TBML Report (2006/2020); UAE FDL No.(10) of 2025 Art. 4; FATF Guidance for DPMS (2020) Sec. 3.3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RF-02 | Trade-Based Money Laundering (TBML) Indicators Checklist - ENTITY: MADISON LLCDraft a TBML indicators checklist for gold/precious metals: over/under-invoicing, multiple invoicing for same shipment, phantom shipments, misrepresentation of goods (purity, weight, origin), round-tripping schemes, and carousel trading patterns. Include pricing anomaly thresholds vs. LBMA gold fix.Regulatory Basis: FATF TBML Report (2006/2020); UAE FDL No.(10) of 2025 Art. 4; FATF Guidance for DPMS (2020) Sec. 3.3Priority: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