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1213964638768862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HSV2-TPK-2026-04-06-UNASSIGNED-RF-02_Trade-Based_Mo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1213964638768862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RF-02 | Trade-Based Money Laundering (TBML) Indicators Checklist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1213964638768862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https://app.asana.com/1/1213645083721316/project/1213909833048586/task/1213964638768862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Draft a TBML indicators checklist for gold/precious metals: over/under-invoicing, multiple invoicing for same shipment, phantom shipments, misrepresentation of goods (purity, weight, origin), round-tripping schemes, and carousel trading patterns. Include pricing anomaly thresholds vs. LBMA gold fix.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TBML Report (2006/2020); UAE FDL No.(10) of 2025 Art. 4; FATF Guidance for DPMS (2020) Sec. 3.3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RF-02 | Trade-Based Money Laundering (TBML) Indicators Checklist - ENTITY: FG LLC Draft a TBML indicators checklist for gold/precious metals: over/under-invoicing, multiple invoicing for same shipment, phantom shipments, misrepresentation of goods (purity, weight, origin), round-tripping schemes, and carousel trading patterns. Include pricing anomaly thresholds vs. LBMA gold fix. Regulatory Basis: FATF TBML Report (2006/2020); UAE FDL No.(10) of 2025 Art. 4; FATF Guidance for DPMS (2020) Sec. 3.3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