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1213965254800349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HSV2-TPK-2026-04-06-UNASSIGNED-RF-02_Trade-Based_Mo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1213965254800349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RF-02 | Trade-Based Money Laundering (TBML) Indicators Checklist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1213965254800349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https://app.asana.com/1/1213645083721316/project/1213908827982041/task/1213965254800349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Draft a TBML indicators checklist for gold/precious metals: over/under-invoicing, multiple invoicing for same shipment, phantom shipments, misrepresentation of goods (purity, weight, origin), round-tripping schemes, and carousel trading patterns. Include pricing anomaly thresholds vs. LBMA gold fix.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TBML Report (2006/2020); UAE FDL No.(10) of 2025 Art. 4; FATF Guidance for DPMS (2020) Sec. 3.3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RF-02 | Trade-Based Money Laundering (TBML) Indicators Checklist - ENTITY: NAPLES LLC Draft a TBML indicators checklist for gold/precious metals: over/under-invoicing, multiple invoicing for same shipment, phantom shipments, misrepresentation of goods (purity, weight, origin), round-tripping schemes, and carousel trading patterns. Include pricing anomaly thresholds vs. LBMA gold fix. Regulatory Basis: FATF TBML Report (2006/2020); UAE FDL No.(10) of 2025 Art. 4; FATF Guidance for DPMS (2020) Sec. 3.3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