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MADISON LLCEstablish detection procedures for structuring (splitting transactions below AED 55,000) and smurfing. Define: velocity rules, aggregation logic across time windows, look-back periods (24hr/7day/30day), and escalation triggers to MLRO.Regulatory Basis: UAE FDL No.(10) of 2025 Art. 15; Cabinet Resolution 134/2025 Art. 17;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