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1213953305314098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HSV2-TPK-2026-04-06-UNASSIGNED-RF-04_Geographic_and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1213953305314098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RF-04 | Geographic and Jurisdictional Risk Red Flags Matrix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1213953305314098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https://app.asana.com/1/1213645083721316/project/1213908508433868/task/1213953305314098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Map geographic risk indicators for gold supply chain: FATF grey/black list jurisdictions, CAHRA regions (LBMA RGG v9 Step 2 Annex B), NAMLCFTC high-risk country list, UAE NRA 2024 country ratings. Traffic-light classification.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FATF Rec. 19; LBMA RGG v9 Step 2; UAE NRA 2024; Cabinet Resolution 134/2025 Art. 12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RF-04 | Geographic and Jurisdictional Risk Red Flags Matrix - ENTITY: FG BRANCH Map geographic risk indicators for gold supply chain: FATF grey/black list jurisdictions, CAHRA regions (LBMA RGG v9 Step 2 Annex B), NAMLCFTC high-risk country list, UAE NRA 2024 country ratings. Traffic-light classification. Regulatory Basis: FATF Rec. 19; LBMA RGG v9 Step 2; UAE NRA 2024; Cabinet Resolution 134/2025 Art. 12 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FINAL_FG_BRANCH_ALL_TASKS_ASANA_IMPORT.csv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