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Traffic-light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FG LLCMap geographic risk indicators for gold supply chain: FATF grey/black list jurisdictions, CAHRA regions (LBMA RGG v9 Step 2 Annex B), NAMLCFTC high-risk country list, UAE NRA 2024 country ratings. Traffic-light classification.Regulatory Basis: FATF Rec. 19; LBMA RGG v9 Step 2; UAE NRA 2024; Cabinet Resolution 134/2025 Art. 12Priority: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