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HSV2-TPK-2026-04-06-UNASSIGNED-RF-04_Geographic_and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1213962483978984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RF-04 | Geographic and Jurisdictional Risk Red Flags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geographic risk indicators for gold supply chain: FATF grey/black list jurisdictions, CAHRA regions (LBMA RGG v9 Step 2 Annex B), NAMLCFTC high-risk country list, UAE NRA 2024 country ratings. Define escalation for high-risk origin/transit countries.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RF-04 | Geographic and Jurisdictional Risk Red Flags Matrix - ENTITY: MADISON LLC Map geographic risk indicators for gold supply chain: FATF grey/black list jurisdictions, CAHRA regions (LBMA RGG v9 Step 2 Annex B), NAMLCFTC high-risk country list, UAE NRA 2024 country ratings. Define escalation for high-risk origin/transit countries. Regulatory Basis: FATF Rec. 19; LBMA RGG v9 Step 2; UAE NRA 2024; Cabinet Resolution 134/2025 Art. 12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