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HSV2-TPK-2026-04-06-UNASSIGNED-RF-04_Geographic_and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1213964638207776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RF-04 | Geographic and Jurisdictional Risk Red Flags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https://app.asana.com/1/1213645083721316/project/1213908611350810/task/1213964638207776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Map geographic risk indicators for gold supply chain: FATF grey/black list jurisdictions, CAHRA regions (LBMA RGG v9 Step 2 Annex B), NAMLCFTC high-risk country list, UAE NRA 2024 country ratings. Traffic-light classification.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Rec. 19; LBMA RGG v9 Step 2; UAE NRA 2024; Cabinet Resolution 134/2025 Art.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RF-04 | Geographic and Jurisdictional Risk Red Flags Matrix - ENTITY: MADISON LLCMap geographic risk indicators for gold supply chain: FATF grey/black list jurisdictions, CAHRA regions (LBMA RGG v9 Step 2 Annex B), NAMLCFTC high-risk country list, UAE NRA 2024 country ratings. Traffic-light classification.Regulatory Basis: FATF Rec. 19; LBMA RGG v9 Step 2; UAE NRA 2024; Cabinet Resolution 134/2025 Art. 12Priority: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FINAL_MADISON_LLC_ALL_TASKS_ASANA_IMPORT.csv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