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1213964638919320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HSV2-TPK-2026-04-06-UNASSIGNED-RF-04_Geographic_and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1213964638919320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RF-04 | Geographic and Jurisdictional Risk Red Flags Matrix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1213964638919320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https://app.asana.com/1/1213645083721316/project/1213908611400789/task/1213964638919320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Map geographic risk indicators for gold supply chain: FATF grey/black list jurisdictions, CAHRA regions (LBMA RGG v9 Step 2 Annex B), NAMLCFTC high-risk country list, UAE NRA 2024 country ratings. Define escalation for high-risk origin/transit countries.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FATF Rec. 19; LBMA RGG v9 Step 2; UAE NRA 2024; Cabinet Resolution 134/2025 Art.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RF-04 | Geographic and Jurisdictional Risk Red Flags Matrix - ENTITY: GRAMALTIN AS Map geographic risk indicators for gold supply chain: FATF grey/black list jurisdictions, CAHRA regions (LBMA RGG v9 Step 2 Annex B), NAMLCFTC high-risk country list, UAE NRA 2024 country ratings. Define escalation for high-risk origin/transit countries. Regulatory Basis: FATF Rec. 19; LBMA RGG v9 Step 2; UAE NRA 2024; Cabinet Resolution 134/2025 Art. 12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