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Traffic-light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NAPLES LLC Map geographic risk indicators for gold supply chain: FATF grey/black list jurisdictions, CAHRA regions (LBMA RGG v9 Step 2 Annex B), NAMLCFTC high-risk country list, UAE NRA 2024 country ratings. Traffic-light classification. Regulatory Basis: FATF Rec. 19; LBMA RGG v9 Step 2; UAE NRA 2024; Cabinet Resolution 134/2025 Art. 12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