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1213965254815830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HSV2-TPK-2026-04-06-UNASSIGNED-RF-04_Geographic_and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1213965254815830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RF-04 | Geographic and Jurisdictional Risk Red Flags Matrix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1213965254815830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https://app.asana.com/1/1213645083721316/project/1213908828069020/task/1213965254815830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Map geographic risk indicators for gold supply chain: FATF grey/black list jurisdictions, CAHRA regions (LBMA RGG v9 Step 2 Annex B), NAMLCFTC high-risk country list, UAE NRA 2024 country ratings. Traffic-light classification.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Rec. 19; LBMA RGG v9 Step 2; UAE NRA 2024; Cabinet Resolution 134/2025 Art.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RF-04 | Geographic and Jurisdictional Risk Red Flags Matrix - ENTITY: ZOE FZEMap geographic risk indicators for gold supply chain: FATF grey/black list jurisdictions, CAHRA regions (LBMA RGG v9 Step 2 Annex B), NAMLCFTC high-risk country list, UAE NRA 2024 country ratings. Traffic-light classification.Regulatory Basis: FATF Rec. 19; LBMA RGG v9 Step 2; UAE NRA 2024; Cabinet Resolution 134/2025 Art. 12Priority: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FINAL_ZOE_FZE_ALL_TASKS_ASANA_IMPORT.csv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