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HSV2-TPK-2026-04-06-UNASSIGNED-RF-04_Geographic_and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1213965289703690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RF-04 | Geographic and Jurisdictional Risk Red Flags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https://app.asana.com/1/1213645083721316/project/1213908508433868/task/1213965289703690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Map geographic risk indicators for gold supply chain: FATF grey/black list jurisdictions, CAHRA regions (LBMA RGG v9 Step 2 Annex B), NAMLCFTC high-risk country list, UAE NRA 2024 country ratings. Define escalation for high-risk origin/transit countries.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Rec. 19; LBMA RGG v9 Step 2; UAE NRA 2024; Cabinet Resolution 134/2025 Art.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RF-04 | Geographic and Jurisdictional Risk Red Flags Matrix - ENTITY: FG BRANCH Map geographic risk indicators for gold supply chain: FATF grey/black list jurisdictions, CAHRA regions (LBMA RGG v9 Step 2 Annex B), NAMLCFTC high-risk country list, UAE NRA 2024 country ratings. Define escalation for high-risk origin/transit countries. Regulatory Basis: FATF Rec. 19; LBMA RGG v9 Step 2; UAE NRA 2024; Cabinet Resolution 134/2025 Art. 12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