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1213953305314097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HSV2-TPK-2026-04-06-UNASSIGNED-RF-05_Customer_Behav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1213953305314097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RF-05 | Customer Behavioural Red Flags Awareness Guide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1213953305314097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https://app.asana.com/1/1213645083721316/project/1213908508433868/task/1213953305314097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Front-office awareness guide: reluctance to provide ID, urgency without rationale, requests to alter records, intermediaries without purpose, inconsistent business profile vs. transaction patterns, reluctance to disclose UBO.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FATF Guidance for DPMS (2020) Sec. 4.2; Cabinet Resolution 134/2025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RF-05 | Customer Behavioural Red Flags Awareness Guide - ENTITY: FG BRANCH Front-office awareness guide: reluctance to provide ID, urgency without rationale, requests to alter records, intermediaries without purpose, inconsistent business profile vs. transaction patterns, reluctance to disclose UBO. Regulatory Basis: UAE FDL No.(10) of 2025 Art. 16; FATF Guidance for DPMS (2020) Sec. 4.2; Cabinet Resolution 134/2025 Art. 4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FINAL_FG_BRANCH_ALL_TASKS_ASANA_IMPORT.csv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