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GRAMALTIN AS Front-office awareness guide: reluctance to provide ID, urgency without rationale, requests to alter records, intermediaries without purpose, inconsistent business profile vs. transaction patterns, reluctance to disclose UBO. Regulatory Basis: UAE FDL No.(10) of 2025 Art. 16; FATF Guidance for DPMS (2020) Sec. 4.2; Cabinet Resolution 134/2025 Art. 4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