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HSV2-TPK-2026-04-06-UNASSIGNED-RF-05_Customer_Behav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1213959825120077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RF-05 | Customer Behavioural Red Flags Awareness Guide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https://app.asana.com/1/1213645083721316/project/1213908828069020/task/1213959825120077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Front-office awareness guide: reluctance to provide ID, urgency without rationale, requests to alter records, intermediaries without purpose, inconsistent business profile vs. transaction patterns, reluctance to disclose UBO, avoidance of face-to-face meetings, unusual interest in compliance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RF-05 | Customer Behavioural Red Flags Awareness Guide - ENTITY: ZOE FZEFront-office awareness guide: reluctance to provide ID, urgency without rationale, requests to alter records, intermediaries without purpose, inconsistent business profile vs. transaction patterns, reluctance to disclose UBO, avoidance of face-to-face meetings, unusual interest in compliance procedures.Regulatory Basis: UAE FDL No.(10) of 2025 Art. 16; FATF Guidance for DPMS (2020) Sec. 4.2; Cabinet Resolution 134/2025 Art. 4Priority: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