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1213962483978983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HSV2-TPK-2026-04-06-UNASSIGNED-RF-05_Customer_Behav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1213962483978983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RF-05 | Customer Behavioural Red Flags Awareness Guide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1213962483978983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https://app.asana.com/1/1213645083721316/project/1213908611350810/task/1213962483978983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Front-office awareness guide: reluctance to provide ID, urgency without rationale, requests to alter records, intermediaries without purpose, inconsistent business profile vs. transaction patterns, reluctance to disclose UBO, avoidance of face-to-face meetings, unusual interest in compliance procedures.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FATF Guidance for DPMS (2020) Sec. 4.2; Cabinet Resolution 134/2025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RF-05 | Customer Behavioural Red Flags Awareness Guide - ENTITY: MADISON LLC Front-office awareness guide: reluctance to provide ID, urgency without rationale, requests to alter records, intermediaries without purpose, inconsistent business profile vs. transaction patterns, reluctance to disclose UBO, avoidance of face-to-face meetings, unusual interest in compliance procedures. Regulatory Basis: UAE FDL No.(10) of 2025 Art. 16; FATF Guidance for DPMS (2020) Sec. 4.2; Cabinet Resolution 134/2025 Art. 4 Priority: Mediu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