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1213964638207775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HSV2-TPK-2026-04-06-UNASSIGNED-RF-05_Customer_Behav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1213964638207775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RF-05 | Customer Behavioural Red Flags Awareness Guide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1213964638207775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https://app.asana.com/1/1213645083721316/project/1213908611350810/task/1213964638207775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Front-office awareness guide: reluctance to provide ID, urgency without rationale, requests to alter records, intermediaries without purpose, inconsistent business profile vs. transaction patterns, reluctance to disclose UBO.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16; FATF Guidance for DPMS (2020) Sec. 4.2; Cabinet Resolution 134/2025 Art. 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RF-05 | Customer Behavioural Red Flags Awareness Guide - ENTITY: MADISON LLCFront-office awareness guide: reluctance to provide ID, urgency without rationale, requests to alter records, intermediaries without purpose, inconsistent business profile vs. transaction patterns, reluctance to disclose UBO.Regulatory Basis: UAE FDL No.(10) of 2025 Art. 16; FATF Guidance for DPMS (2020) Sec. 4.2; Cabinet Resolution 134/2025 Art. 4Priority: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FINAL_MADISON_LLC_ALL_TASKS_ASANA_IMPORT.csv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crossBorder.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