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GRAMALTIN AS 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 Regulatory Basis: UAE FDL No.(10) of 2025 Art. 16; FATF Guidance for DPMS (2020) Sec. 4.2; Cabinet Resolution 134/2025 Art. 4 Priority: Med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