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NAPLES LLC Front-office awareness guide: reluctance to provide ID, urgency without rationale, requests to alter records, intermediaries without purpose, inconsistent business profile vs. transaction patterns, reluctance to disclose UBO. Regulatory Basis: UAE FDL No.(10) of 2025 Art. 16; FATF Guidance for DPMS (2020) Sec. 4.2; Cabinet Resolution 134/2025 Art. 4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