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ZOE FZEFront-office awareness guide: reluctance to provide ID, urgency without rationale, requests to alter records, intermediaries without purpose, inconsistent business profile vs. transaction patterns, reluctance to disclose UBO.Regulatory Basis: UAE FDL No.(10) of 2025 Art. 16; FATF Guidance for DPMS (2020) Sec. 4.2; Cabinet Resolution 134/2025 Art. 4Priority: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