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1213965289703689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HSV2-TPK-2026-04-06-UNASSIGNED-RF-05_Customer_Behav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1213965289703689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RF-05 | Customer Behavioural Red Flags Awareness Guide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1213965289703689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https://app.asana.com/1/1213645083721316/project/1213908508433868/task/1213965289703689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Front-office awareness guide: reluctance to provide ID, urgency without rationale, requests to alter records, intermediaries without purpose, inconsistent business profile vs. transaction patterns, reluctance to disclose UBO, avoidance of face-to-face meetings, unusual interest in compliance procedures.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16; FATF Guidance for DPMS (2020) Sec. 4.2; Cabinet Resolution 134/2025 Art. 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RF-05 | Customer Behavioural Red Flags Awareness Guide - ENTITY: FG BRANCH Front-office awareness guide: reluctance to provide ID, urgency without rationale, requests to alter records, intermediaries without purpose, inconsistent business profile vs. transaction patterns, reluctance to disclose UBO, avoidance of face-to-face meetings, unusual interest in compliance procedures. Regulatory Basis: UAE FDL No.(10) of 2025 Art. 16; FATF Guidance for DPMS (2020) Sec. 4.2; Cabinet Resolution 134/2025 Art. 4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