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purity/weight fraud: discrepancies between declared and actual assay, requests to skip assay verification, unusual insistence on specific refiners, mismatched hallmarking,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MADISON LLCRed flags for purity/weight fraud: discrepancies between declared and actual assay, requests to skip assay verification, unusual insistence on specific refiners, mismatched hallmarking, documentation gaps in chain of custody.Regulatory Basis: LBMA RGG v9 Step 3; FATF Guidance for DPMS (2020) Sec. 3.2; UAE FDL No.(10) of 2025 Art. 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