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1213964638919318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HSV2-TPK-2026-04-06-UNASSIGNED-RF-06_Gold_Purity_an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1213964638919318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RF-06 | Gold Purity and Weight Manipulation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1213964638919318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https://app.asana.com/1/1213645083721316/project/1213908611400789/task/1213964638919318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red flags for purity/weight fraud: discrepancies between declared and actual assay results, requests to skip assay verification, unusual insistence on specific refiners, mismatched hallmarking, and documentation gaps in chain of custody.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FATF Guidance for DPMS (2020) Sec. 3.2; UAE FDL No.(10) of 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RF-06 | Gold Purity and Weight Manipulation Red Flags - ENTITY: GRAMALTIN AS Document red flags for purity/weight fraud: discrepancies between declared and actual assay results, requests to skip assay verification, unusual insistence on specific refiners, mismatched hallmarking, and documentation gaps in chain of custody. Regulatory Basis: LBMA RGG v9 Step 3; FATF Guidance for DPMS (2020) Sec. 3.2; UAE FDL No.(10) of 2025 Art. 4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