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purity/weight fraud: discrepancies between declared and actual assay, requests to skip assay verification, unusual insistence on specific refiners, mismatched hallmarking,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ZOE FZERed flags for purity/weight fraud: discrepancies between declared and actual assay, requests to skip assay verification, unusual insistence on specific refiners, mismatched hallmarking, documentation gaps in chain of custody.Regulatory Basis: LBMA RGG v9 Step 3; FATF Guidance for DPMS (2020) Sec. 3.2; UAE FDL No.(10) of 2025 Art. 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