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Indicators of shell companies and opaque ownership: nominees as directors/shareholders, multi-layered structures without rationale, bearer shares, trust arrangements obscuring UBOs,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FG BRANCH Indicators of shell companies and opaque ownership: nominees as directors/shareholders, multi-layered structures without rationale, bearer shares, trust arrangements obscuring UBOs, registered agents in secrecy jurisdictions. Regulatory Basis: Cabinet Decision No.(10) of 2019 (UBO); UAE FDL No.(10) of 2025 Art. 9-10; FATF Rec. 24-25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