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HSV2-TPK-2026-04-06-UNASSIGNED-RF-07_Shell_Company_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1213954968018048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RF-07 | Shell Company and Complex Ownership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https://app.asana.com/1/1213645083721316/project/1213909833048586/task/1213954968018048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Indicators of shell companies and opaque ownership: nominees as directors/shareholders, multi-layered structures without rationale, bearer shares, trust arrangements obscuring UBOs, registered agents in secrecy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 (UBO);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RF-07 | Shell Company and Complex Ownership Red Flags - ENTITY: FG LLCIndicators of shell companies and opaque ownership: nominees as directors/shareholders, multi-layered structures without rationale, bearer shares, trust arrangements obscuring UBOs, registered agents in secrecy jurisdictions.Regulatory Basis: Cabinet Decision No.(10) of 2019 (UBO); UAE FDL No.(10) of 2025 Art. 9-10; FATF Rec. 24-25Priority: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