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GRAMALTIN AS Indicators of shell companies and opaque ownership: nominees as directors/shareholders, multi-layered structures without rationale, bearer shares, trust arrangements obscuring UBOs, registered agents in secrecy jurisdictions. Regulatory Basis: Cabinet Decision No.(10) of 2019 (UBO); UAE FDL No.(10) of 2025 Art. 9-10; FATF Rec. 24-25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