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1213959825120075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HSV2-TPK-2026-04-06-UNASSIGNED-RF-07_Shell_Company_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1213959825120075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RF-07 | Shell Company and Complex Ownership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1213959825120075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https://app.asana.com/1/1213645083721316/project/1213908828069020/task/1213959825120075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Identify indicators of shell companies and opaque ownership: nominees as directors/shareholders, multi-layered corporate structures without clear rationale, bearer shares, trust arrangements obscuring UBOs, and registered agents in secrecy jurisdictions.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Decision No.(10) of 2019 (UBO); UAE FDL No.(10) of 2025 Art. 9-10; FATF Rec. 24-25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RF-07 | Shell Company and Complex Ownership Red Flags - ENTITY: ZOE FZEIdentify indicators of shell companies and opaque ownership: nominees as directors/shareholders, multi-layered corporate structures without clear rationale, bearer shares, trust arrangements obscuring UBOs, and registered agents in secrecy jurisdictions.Regulatory Basis: Cabinet Decision No.(10) of 2019 (UBO); UAE FDL No.(10) of 2025 Art. 9-10; FATF Rec. 24-25Priority: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