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indicators of shell companies and opaque ownership: nominees as directors/shareholders, multi-layered corporate structures without clear rationale, bearer shares, trust arrangements obscuring UBOs, and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MADISON LLC Identify indicators of shell companies and opaque ownership: nominees as directors/shareholders, multi-layered corporate structures without clear rationale, bearer shares, trust arrangements obscuring UBOs, and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