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1213964638207773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HSV2-TPK-2026-04-06-UNASSIGNED-RF-07_Shell_Company_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1213964638207773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RF-07 | Shell Company and Complex Ownership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1213964638207773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https://app.asana.com/1/1213645083721316/project/1213908611350810/task/1213964638207773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Indicators of shell companies and opaque ownership: nominees as directors/shareholders, multi-layered structures without rationale, bearer shares, trust arrangements obscuring UBOs, registered agents in secrecy jurisdictions.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Decision No.(10) of 2019 (UBO); UAE FDL No.(10) of 2025 Art. 9-10; FATF Rec. 24-25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RF-07 | Shell Company and Complex Ownership Red Flags - ENTITY: MADISON LLCIndicators of shell companies and opaque ownership: nominees as directors/shareholders, multi-layered structures without rationale, bearer shares, trust arrangements obscuring UBOs, registered agents in secrecy jurisdictions.Regulatory Basis: Cabinet Decision No.(10) of 2019 (UBO); UAE FDL No.(10) of 2025 Art. 9-10; FATF Rec. 24-25Priority: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FINAL_MADISON_LLC_ALL_TASKS_ASANA_IMPORT.csv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