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indicators of shell companies and opaque ownership: nominees as directors/shareholders, multi-layered corporate structures without clear rationale, bearer shares, trust arrangements obscuring UBOs, and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FG LLC Identify indicators of shell companies and opaque ownership: nominees as directors/shareholders, multi-layered corporate structures without clear rationale, bearer shares, trust arrangements obscuring UBOs, and registered agents in secrecy jurisdictions. Regulatory Basis: Cabinet Decision No.(10) of 2019 (UBO); UAE FDL No.(10) of 2025 Art. 9-10; FATF Rec. 24-25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