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1213964638919317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HSV2-TPK-2026-04-06-UNASSIGNED-RF-07_Shell_Company_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1213964638919317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RF-07 | Shell Company and Complex Ownership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1213964638919317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https://app.asana.com/1/1213645083721316/project/1213908611400789/task/1213964638919317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Identify indicators of shell companies and opaque ownership: nominees as directors/shareholders, multi-layered corporate structures without clear rationale, bearer shares, trust arrangements obscuring UBOs, and registered agents in secrecy jurisdictions.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Decision No.(10) of 2019 (UBO); UAE FDL No.(10) of 2025 Art. 9-10; FATF Rec. 24-25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RF-07 | Shell Company and Complex Ownership Red Flags - ENTITY: GRAMALTIN AS Identify indicators of shell companies and opaque ownership: nominees as directors/shareholders, multi-layered corporate structures without clear rationale, bearer shares, trust arrangements obscuring UBOs, and registered agents in secrecy jurisdictions. Regulatory Basis: Cabinet Decision No.(10) of 2019 (UBO); UAE FDL No.(10) of 2025 Art. 9-10; FATF Rec. 24-25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