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HSV2-TPK-2026-04-06-UNASSIGNED-RF-07_Shell_Company_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1213965289703687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RF-07 | Shell Company and Complex Ownership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https://app.asana.com/1/1213645083721316/project/1213908508433868/task/1213965289703687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 indicators of shell companies and opaque ownership: nominees as directors/shareholders, multi-layered corporate structures without clear rationale, bearer shares, trust arrangements obscuring UBOs, and registered agents in secrecy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 (UBO);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RF-07 | Shell Company and Complex Ownership Red Flags - ENTITY: FG BRANCH Identify indicators of shell companies and opaque ownership: nominees as directors/shareholders, multi-layered corporate structures without clear rationale, bearer shares, trust arrangements obscuring UBOs, and registered agents in secrecy jurisdictions. Regulatory Basis: Cabinet Decision No.(10) of 2019 (UBO); UAE FDL No.(10) of 2025 Art. 9-10; FATF Rec. 24-25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