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red flags in precious metals: large cash purchases by PEPs/associates, gold as store of value to circumvent controls, diplomatic channels for transport,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GRAMALTIN AS PEP red flags in precious metals: large cash purchases by PEPs/associates, gold as store of value to circumvent controls, diplomatic channels for transport, PEP family members as intermediaries. Regulatory Basis: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