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1213959825120074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HSV2-TPK-2026-04-06-UNASSIGNED-RF-08_PEP-Specific_R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1213959825120074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RF-08 | PEP-Specific Red Flags for DPMS Transactions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1213959825120074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https://app.asana.com/1/1213645083721316/project/1213908828069020/task/1213959825120074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red flags specific to PEPs in precious metals: large cash purchases by PEPs or associates, gold as store of value to circumvent financial controls, use of diplomatic channels for transport, and PEP family members as intermediaries.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16(4); Cabinet Resolution 134/2025 Art. 13;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RF-08 | PEP-Specific Red Flags for DPMS Transactions - ENTITY: ZOE FZEDocument red flags specific to PEPs in precious metals: large cash purchases by PEPs or associates, gold as store of value to circumvent financial controls, use of diplomatic channels for transport, and PEP family members as intermediaries.Regulatory Basis: UAE FDL No.(10) of 2025 Art. 16(4); Cabinet Resolution 134/2025 Art. 13; FATF Rec. 12Priority: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pep,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