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red flags specific to PEPs in precious metals: large cash purchases by PEPs or associates, gold as store of value to circumvent financial controls, use of diplomatic channels for transport, and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MADISON LLC Document red flags specific to PEPs in precious metals: large cash purchases by PEPs or associates, gold as store of value to circumvent financial controls, use of diplomatic channels for transport, and PEP family members as intermediaries. Regulatory Basis: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