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HSV2-TPK-2026-04-06-UNASSIGNED-RF-08_PEP-Specific_R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1213964638207772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RF-08 | PEP-Specific Red Flags for DPMS Transactions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https://app.asana.com/1/1213645083721316/project/1213908611350810/task/1213964638207772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red flags in precious metals: large cash purchases by PEPs/associates, gold as store of value to circumvent controls, diplomatic channels for transport, PEP family members as intermediaries.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16(4); Cabinet Resolution 134/2025 Art. 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RF-08 | PEP-Specific Red Flags for DPMS Transactions - ENTITY: MADISON LLCPEP red flags in precious metals: large cash purchases by PEPs/associates, gold as store of value to circumvent controls, diplomatic channels for transport, PEP family members as intermediaries.Regulatory Basis: UAE FDL No.(10) of 2025 Art. 16(4); Cabinet Resolution 134/2025 Art. 13; FATF Rec. 12Priority: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pep,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