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1213964638768856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HSV2-TPK-2026-04-06-UNASSIGNED-RF-08_PEP-Specific_R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1213964638768856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RF-08 | PEP-Specific Red Flags for DPMS Transactions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1213964638768856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https://app.asana.com/1/1213645083721316/project/1213909833048586/task/1213964638768856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red flags specific to PEPs in precious metals: large cash purchases by PEPs or associates, gold as store of value to circumvent financial controls, use of diplomatic channels for transport, and PEP family members as intermediaries.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16(4); Cabinet Resolution 134/2025 Art. 13;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RF-08 | PEP-Specific Red Flags for DPMS Transactions - ENTITY: FG LLC Document red flags specific to PEPs in precious metals: large cash purchases by PEPs or associates, gold as store of value to circumvent financial controls, use of diplomatic channels for transport, and PEP family members as intermediaries. Regulatory Basis: UAE FDL No.(10) of 2025 Art. 16(4); Cabinet Resolution 134/2025 Art. 13; FATF Rec. 12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pep,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