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1213964638919316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HSV2-TPK-2026-04-06-UNASSIGNED-RF-08_PEP-Specific_R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1213964638919316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RF-08 | PEP-Specific Red Flags for DPMS Transactions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1213964638919316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https://app.asana.com/1/1213645083721316/project/1213908611400789/task/1213964638919316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red flags specific to PEPs in precious metals: large cash purchases by PEPs or associates, gold as store of value to circumvent financial controls, use of diplomatic channels for transport, and PEP family members as intermediaries.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16(4); Cabinet Resolution 134/2025 Art. 13; FATF Rec. 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RF-08 | PEP-Specific Red Flags for DPMS Transactions - ENTITY: GRAMALTIN AS Document red flags specific to PEPs in precious metals: large cash purchases by PEPs or associates, gold as store of value to circumvent financial controls, use of diplomatic channels for transport, and PEP family members as intermediaries. Regulatory Basis: UAE FDL No.(10) of 2025 Art. 16(4); Cabinet Resolution 134/2025 Art. 13; FATF Rec. 12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pep, cash.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