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red flags in precious metals: large cash purchases by PEPs/associates, gold as store of value to circumvent controls, diplomatic channels for transport,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NAPLES LLC PEP red flags in precious metals: large cash purchases by PEPs/associates, gold as store of value to circumvent controls, diplomatic channels for transport,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