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red flags in precious metals: large cash purchases by PEPs/associates, gold as store of value to circumvent controls, diplomatic channels for transport,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ZOE FZEPEP red flags in precious metals: large cash purchases by PEPs/associates, gold as store of value to circumvent controls, diplomatic channels for transport, PEP family members as intermediaries.Regulatory Basis: UAE FDL No.(10) of 2025 Art. 16(4); Cabinet Resolution 134/2025 Art. 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